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F43C" w14:textId="2A395416" w:rsidR="00D017BA" w:rsidRDefault="00D017BA" w:rsidP="001E2130">
      <w:pPr>
        <w:pStyle w:val="Body"/>
        <w:jc w:val="center"/>
        <w:rPr>
          <w:rFonts w:ascii="Verdana" w:hAnsi="Verdana"/>
          <w:b/>
          <w:bCs/>
          <w:sz w:val="24"/>
          <w:szCs w:val="24"/>
        </w:rPr>
      </w:pPr>
      <w:bookmarkStart w:id="0" w:name="_Hlk44339376"/>
      <w:r>
        <w:rPr>
          <w:rFonts w:ascii="Verdana" w:hAnsi="Verdana"/>
          <w:b/>
          <w:bCs/>
          <w:sz w:val="24"/>
          <w:szCs w:val="24"/>
        </w:rPr>
        <w:t>The Heswall Society Comments on</w:t>
      </w:r>
    </w:p>
    <w:p w14:paraId="56E9DF87" w14:textId="5563365B" w:rsidR="005723A7" w:rsidRPr="00A62968" w:rsidRDefault="001E2130" w:rsidP="001E2130">
      <w:pPr>
        <w:pStyle w:val="Body"/>
        <w:jc w:val="center"/>
        <w:rPr>
          <w:rFonts w:ascii="Verdana" w:hAnsi="Verdana"/>
          <w:b/>
          <w:bCs/>
          <w:i/>
          <w:iCs/>
          <w:sz w:val="24"/>
          <w:szCs w:val="24"/>
        </w:rPr>
      </w:pPr>
      <w:r w:rsidRPr="00A62968">
        <w:rPr>
          <w:rFonts w:ascii="Verdana" w:hAnsi="Verdana"/>
          <w:b/>
          <w:bCs/>
          <w:i/>
          <w:iCs/>
          <w:sz w:val="24"/>
          <w:szCs w:val="24"/>
        </w:rPr>
        <w:t>ECC</w:t>
      </w:r>
      <w:r w:rsidR="003E4BC6" w:rsidRPr="00A62968">
        <w:rPr>
          <w:rFonts w:ascii="Verdana" w:hAnsi="Verdana"/>
          <w:b/>
          <w:bCs/>
          <w:i/>
          <w:iCs/>
          <w:sz w:val="24"/>
          <w:szCs w:val="24"/>
        </w:rPr>
        <w:t xml:space="preserve"> </w:t>
      </w:r>
      <w:r w:rsidRPr="00A62968">
        <w:rPr>
          <w:rFonts w:ascii="Verdana" w:hAnsi="Verdana"/>
          <w:b/>
          <w:bCs/>
          <w:i/>
          <w:iCs/>
          <w:sz w:val="24"/>
          <w:szCs w:val="24"/>
        </w:rPr>
        <w:t xml:space="preserve">5.6 </w:t>
      </w:r>
      <w:r w:rsidR="005723A7" w:rsidRPr="00A62968">
        <w:rPr>
          <w:rFonts w:ascii="Verdana" w:hAnsi="Verdana"/>
          <w:b/>
          <w:bCs/>
          <w:i/>
          <w:iCs/>
          <w:sz w:val="24"/>
          <w:szCs w:val="24"/>
        </w:rPr>
        <w:t xml:space="preserve">Wirral </w:t>
      </w:r>
      <w:r w:rsidRPr="00A62968">
        <w:rPr>
          <w:rFonts w:ascii="Verdana" w:hAnsi="Verdana"/>
          <w:b/>
          <w:bCs/>
          <w:i/>
          <w:iCs/>
          <w:sz w:val="24"/>
          <w:szCs w:val="24"/>
        </w:rPr>
        <w:t>Site Specific Landscape Sensitivity Assessment</w:t>
      </w:r>
    </w:p>
    <w:p w14:paraId="7362631B" w14:textId="415C68FC" w:rsidR="001E2130" w:rsidRPr="00A62968" w:rsidRDefault="001E2130" w:rsidP="001E2130">
      <w:pPr>
        <w:pStyle w:val="Body"/>
        <w:numPr>
          <w:ilvl w:val="0"/>
          <w:numId w:val="1"/>
        </w:numPr>
        <w:jc w:val="center"/>
        <w:rPr>
          <w:rFonts w:ascii="Verdana" w:hAnsi="Verdana"/>
          <w:b/>
          <w:bCs/>
          <w:i/>
          <w:iCs/>
          <w:sz w:val="24"/>
          <w:szCs w:val="24"/>
        </w:rPr>
      </w:pPr>
      <w:r w:rsidRPr="00A62968">
        <w:rPr>
          <w:rFonts w:ascii="Verdana" w:hAnsi="Verdana"/>
          <w:b/>
          <w:bCs/>
          <w:i/>
          <w:iCs/>
          <w:sz w:val="24"/>
          <w:szCs w:val="24"/>
        </w:rPr>
        <w:t>Addendum</w:t>
      </w:r>
    </w:p>
    <w:p w14:paraId="65312212" w14:textId="77777777" w:rsidR="005723A7" w:rsidRPr="005723A7" w:rsidRDefault="005723A7" w:rsidP="005723A7">
      <w:pPr>
        <w:pStyle w:val="Body"/>
        <w:rPr>
          <w:rFonts w:ascii="Verdana" w:hAnsi="Verdana"/>
          <w:sz w:val="24"/>
          <w:szCs w:val="24"/>
        </w:rPr>
      </w:pPr>
    </w:p>
    <w:p w14:paraId="5900D19A" w14:textId="77777777" w:rsidR="005723A7" w:rsidRPr="005723A7" w:rsidRDefault="005723A7" w:rsidP="005723A7">
      <w:pPr>
        <w:pStyle w:val="Body"/>
        <w:rPr>
          <w:rFonts w:ascii="Verdana" w:hAnsi="Verdana"/>
          <w:sz w:val="24"/>
          <w:szCs w:val="24"/>
        </w:rPr>
      </w:pPr>
    </w:p>
    <w:p w14:paraId="7D7F4F0C" w14:textId="77777777" w:rsidR="001563CD" w:rsidRPr="005C3590" w:rsidRDefault="001563CD" w:rsidP="001563CD">
      <w:pPr>
        <w:pStyle w:val="Body"/>
        <w:ind w:right="237"/>
        <w:rPr>
          <w:rFonts w:ascii="Verdana" w:hAnsi="Verdana"/>
          <w:color w:val="auto"/>
        </w:rPr>
      </w:pPr>
      <w:r w:rsidRPr="005C3590">
        <w:rPr>
          <w:rFonts w:ascii="Verdana" w:hAnsi="Verdana"/>
          <w:color w:val="auto"/>
        </w:rPr>
        <w:t xml:space="preserve">In general terms it is important to note that all landscape is of value. This principle was established by the European Landscape Convention (ELC), which came into force in the UK in March 2007. The ELC </w:t>
      </w:r>
      <w:proofErr w:type="spellStart"/>
      <w:r w:rsidRPr="005C3590">
        <w:rPr>
          <w:rFonts w:ascii="Verdana" w:hAnsi="Verdana"/>
          <w:color w:val="auto"/>
        </w:rPr>
        <w:t>recognises</w:t>
      </w:r>
      <w:proofErr w:type="spellEnd"/>
      <w:r w:rsidRPr="005C3590">
        <w:rPr>
          <w:rFonts w:ascii="Verdana" w:hAnsi="Verdana"/>
          <w:color w:val="auto"/>
        </w:rPr>
        <w:t xml:space="preserve"> that landscape is an important part of the quality of life for people everywhere: in urban areas and in the countryside, in degraded areas as well as in areas of high quality, in areas </w:t>
      </w:r>
      <w:proofErr w:type="spellStart"/>
      <w:r w:rsidRPr="005C3590">
        <w:rPr>
          <w:rFonts w:ascii="Verdana" w:hAnsi="Verdana"/>
          <w:color w:val="auto"/>
        </w:rPr>
        <w:t>recognised</w:t>
      </w:r>
      <w:proofErr w:type="spellEnd"/>
      <w:r w:rsidRPr="005C3590">
        <w:rPr>
          <w:rFonts w:ascii="Verdana" w:hAnsi="Verdana"/>
          <w:color w:val="auto"/>
        </w:rPr>
        <w:t xml:space="preserve"> as being of outstanding beauty as well as everyday areas. The ELC establishes the need to </w:t>
      </w:r>
      <w:proofErr w:type="spellStart"/>
      <w:r w:rsidRPr="005C3590">
        <w:rPr>
          <w:rFonts w:ascii="Verdana" w:hAnsi="Verdana"/>
          <w:color w:val="auto"/>
        </w:rPr>
        <w:t>recognise</w:t>
      </w:r>
      <w:proofErr w:type="spellEnd"/>
      <w:r w:rsidRPr="005C3590">
        <w:rPr>
          <w:rFonts w:ascii="Verdana" w:hAnsi="Verdana"/>
          <w:color w:val="auto"/>
        </w:rPr>
        <w:t xml:space="preserve"> landscape in law and to establish procedures for the participation of the </w:t>
      </w:r>
      <w:proofErr w:type="gramStart"/>
      <w:r w:rsidRPr="005C3590">
        <w:rPr>
          <w:rFonts w:ascii="Verdana" w:hAnsi="Verdana"/>
          <w:color w:val="auto"/>
        </w:rPr>
        <w:t>general public</w:t>
      </w:r>
      <w:proofErr w:type="gramEnd"/>
      <w:r w:rsidRPr="005C3590">
        <w:rPr>
          <w:rFonts w:ascii="Verdana" w:hAnsi="Verdana"/>
          <w:color w:val="auto"/>
        </w:rPr>
        <w:t xml:space="preserve"> and other stakeholders in the creation and implementation of landscape policies. The Heswall Society would like to see the ELC and that “all landscape is of value referenced in the Local Plan and that non-designated areas can also be ‘valued</w:t>
      </w:r>
      <w:proofErr w:type="gramStart"/>
      <w:r w:rsidRPr="005C3590">
        <w:rPr>
          <w:rFonts w:ascii="Verdana" w:hAnsi="Verdana"/>
          <w:color w:val="auto"/>
        </w:rPr>
        <w:t>’ .</w:t>
      </w:r>
      <w:proofErr w:type="gramEnd"/>
      <w:r w:rsidRPr="005C3590">
        <w:rPr>
          <w:rFonts w:ascii="Verdana" w:hAnsi="Verdana"/>
          <w:color w:val="auto"/>
        </w:rPr>
        <w:t xml:space="preserve"> </w:t>
      </w:r>
    </w:p>
    <w:p w14:paraId="311BA123" w14:textId="77777777" w:rsidR="002B464E" w:rsidRPr="005C3590" w:rsidRDefault="002B464E" w:rsidP="002B464E">
      <w:pPr>
        <w:pStyle w:val="BodyText"/>
        <w:spacing w:before="9"/>
        <w:rPr>
          <w:sz w:val="24"/>
        </w:rPr>
      </w:pPr>
    </w:p>
    <w:p w14:paraId="5E9ADDC5" w14:textId="383B6BFC" w:rsidR="002B464E" w:rsidRPr="005C3590" w:rsidRDefault="002B464E" w:rsidP="002B464E">
      <w:pPr>
        <w:spacing w:line="273" w:lineRule="auto"/>
        <w:ind w:right="34"/>
        <w:rPr>
          <w:rFonts w:ascii="Verdana" w:hAnsi="Verdana"/>
        </w:rPr>
      </w:pPr>
      <w:r w:rsidRPr="005C3590">
        <w:rPr>
          <w:rFonts w:ascii="Verdana" w:hAnsi="Verdana"/>
          <w:w w:val="105"/>
        </w:rPr>
        <w:t>The NPPF 2019 is explicit in its requirement for development plan policies to protect and where appropriate, enhance the natural environment. LUC's approach</w:t>
      </w:r>
      <w:r w:rsidR="00D751AB" w:rsidRPr="005C3590">
        <w:rPr>
          <w:rFonts w:ascii="Verdana" w:hAnsi="Verdana"/>
          <w:w w:val="105"/>
        </w:rPr>
        <w:t xml:space="preserve"> </w:t>
      </w:r>
      <w:r w:rsidRPr="005C3590">
        <w:rPr>
          <w:rFonts w:ascii="Verdana" w:hAnsi="Verdana"/>
          <w:w w:val="105"/>
        </w:rPr>
        <w:t>builds on the process set out in An Approach to Landscape Sensitivity Assessment (Natural England, 2019), which replaced previous studies</w:t>
      </w:r>
      <w:r w:rsidR="00D751AB" w:rsidRPr="005C3590">
        <w:rPr>
          <w:rFonts w:ascii="Verdana" w:hAnsi="Verdana"/>
          <w:w w:val="105"/>
        </w:rPr>
        <w:t xml:space="preserve"> </w:t>
      </w:r>
      <w:r w:rsidRPr="005C3590">
        <w:rPr>
          <w:rFonts w:ascii="Verdana" w:hAnsi="Verdana"/>
          <w:w w:val="105"/>
        </w:rPr>
        <w:t>on the topic.</w:t>
      </w:r>
      <w:r w:rsidRPr="005C3590">
        <w:rPr>
          <w:rFonts w:ascii="Verdana" w:hAnsi="Verdana"/>
        </w:rPr>
        <w:t xml:space="preserve"> </w:t>
      </w:r>
      <w:r w:rsidR="00D751AB" w:rsidRPr="005C3590">
        <w:rPr>
          <w:rFonts w:ascii="Verdana" w:hAnsi="Verdana"/>
        </w:rPr>
        <w:t xml:space="preserve">The </w:t>
      </w:r>
      <w:r w:rsidRPr="005C3590">
        <w:rPr>
          <w:rFonts w:ascii="Verdana" w:hAnsi="Verdana"/>
          <w:w w:val="105"/>
        </w:rPr>
        <w:t>LUC's approach is up to date</w:t>
      </w:r>
      <w:r w:rsidR="00D751AB" w:rsidRPr="005C3590">
        <w:rPr>
          <w:rFonts w:ascii="Verdana" w:hAnsi="Verdana"/>
          <w:w w:val="105"/>
        </w:rPr>
        <w:t xml:space="preserve">, </w:t>
      </w:r>
      <w:r w:rsidRPr="005C3590">
        <w:rPr>
          <w:rFonts w:ascii="Verdana" w:hAnsi="Verdana"/>
          <w:w w:val="105"/>
        </w:rPr>
        <w:t>with vigorous assessments and with full compliance in relation to the NPPF's criteria.</w:t>
      </w:r>
    </w:p>
    <w:p w14:paraId="53D45F1B" w14:textId="187F716E" w:rsidR="002B464E" w:rsidRPr="005C3590" w:rsidRDefault="002B464E" w:rsidP="002B464E">
      <w:pPr>
        <w:spacing w:before="1" w:line="266" w:lineRule="auto"/>
        <w:ind w:right="172"/>
        <w:rPr>
          <w:rFonts w:ascii="Verdana" w:hAnsi="Verdana"/>
          <w:w w:val="105"/>
        </w:rPr>
      </w:pPr>
      <w:r w:rsidRPr="005C3590">
        <w:rPr>
          <w:rFonts w:ascii="Verdana" w:hAnsi="Verdana"/>
          <w:w w:val="105"/>
        </w:rPr>
        <w:t>In line with Natural England's approach, the LUC's study uses carefully defined criteria so that judgements can be clearly traced back to the underlying landscape and visual baseline. Criteria selection is based on the attributes of the landscape most likely to be affected by residential and employment development. It considers both 'landscape' and 'visual' aspects of landscape sensitivity and those relating to value.</w:t>
      </w:r>
      <w:r w:rsidRPr="005C3590">
        <w:rPr>
          <w:rFonts w:ascii="Verdana" w:hAnsi="Verdana"/>
        </w:rPr>
        <w:t xml:space="preserve"> </w:t>
      </w:r>
      <w:r w:rsidRPr="005C3590">
        <w:rPr>
          <w:rFonts w:ascii="Verdana" w:hAnsi="Verdana"/>
          <w:w w:val="105"/>
        </w:rPr>
        <w:t>The Addendum also reinforces previous assessments and culminates in its recommendations concerning the re-vamping of some LLD's across the Borough.</w:t>
      </w:r>
    </w:p>
    <w:p w14:paraId="6DE6070F" w14:textId="0F3E5EB6" w:rsidR="006E312C" w:rsidRPr="005C3590" w:rsidRDefault="006E312C" w:rsidP="006E312C">
      <w:pPr>
        <w:spacing w:line="268" w:lineRule="auto"/>
        <w:ind w:right="84"/>
        <w:rPr>
          <w:rFonts w:ascii="Verdana" w:hAnsi="Verdana"/>
        </w:rPr>
      </w:pPr>
      <w:r w:rsidRPr="005C3590">
        <w:rPr>
          <w:rFonts w:ascii="Verdana" w:hAnsi="Verdana"/>
          <w:w w:val="105"/>
        </w:rPr>
        <w:t>It also should be noted that ARUP's Green Belt Review in assessing weakly, moderate or strong performing parcels against the NPPF, excludes such factors as agricultural grading, landscape characteristics, ecological and archaeological factors, just to name 4, and therefore its conclusions are seriously flawed. ARUP chose a very narrow set of criteria upon which to base its conclusions for such a major issue.</w:t>
      </w:r>
    </w:p>
    <w:p w14:paraId="6C2F4E91" w14:textId="77777777" w:rsidR="006E312C" w:rsidRPr="005C3590" w:rsidRDefault="006E312C" w:rsidP="002B464E">
      <w:pPr>
        <w:spacing w:before="1" w:line="266" w:lineRule="auto"/>
        <w:ind w:right="172"/>
        <w:rPr>
          <w:rFonts w:ascii="Verdana" w:hAnsi="Verdana"/>
        </w:rPr>
      </w:pPr>
    </w:p>
    <w:p w14:paraId="1AC4959C" w14:textId="27581817" w:rsidR="001563CD" w:rsidRPr="005C3590" w:rsidRDefault="001563CD" w:rsidP="002B464E">
      <w:pPr>
        <w:widowControl/>
        <w:autoSpaceDE/>
        <w:autoSpaceDN/>
        <w:spacing w:after="160" w:line="259" w:lineRule="auto"/>
        <w:rPr>
          <w:rFonts w:ascii="Verdana" w:eastAsia="Arial Unicode MS" w:hAnsi="Verdana" w:cs="Arial Unicode MS"/>
          <w:bdr w:val="nil"/>
          <w:lang w:eastAsia="en-GB"/>
        </w:rPr>
      </w:pPr>
      <w:r w:rsidRPr="005C3590">
        <w:rPr>
          <w:rFonts w:ascii="Verdana" w:hAnsi="Verdana"/>
        </w:rPr>
        <w:t xml:space="preserve">It is disappointing that this study is consulting the public after it has been published and not during the drafting process. </w:t>
      </w:r>
    </w:p>
    <w:p w14:paraId="02AC3A2C" w14:textId="77777777" w:rsidR="001563CD" w:rsidRPr="005C3590" w:rsidRDefault="001563CD" w:rsidP="001563CD">
      <w:pPr>
        <w:pStyle w:val="Body"/>
        <w:rPr>
          <w:rFonts w:ascii="Verdana" w:hAnsi="Verdana"/>
          <w:color w:val="auto"/>
        </w:rPr>
      </w:pPr>
    </w:p>
    <w:p w14:paraId="24405BD0" w14:textId="77777777" w:rsidR="001563CD" w:rsidRPr="005C3590" w:rsidRDefault="001563CD" w:rsidP="001563CD">
      <w:pPr>
        <w:pStyle w:val="Body"/>
        <w:rPr>
          <w:rFonts w:ascii="Verdana" w:hAnsi="Verdana"/>
          <w:color w:val="auto"/>
        </w:rPr>
      </w:pPr>
      <w:r w:rsidRPr="005C3590">
        <w:rPr>
          <w:rFonts w:ascii="Verdana" w:hAnsi="Verdana"/>
          <w:color w:val="auto"/>
        </w:rPr>
        <w:t xml:space="preserve">The Heswall Society (HS) has only considered this document in terms of that part of the landscape which lies either within or </w:t>
      </w:r>
      <w:proofErr w:type="gramStart"/>
      <w:r w:rsidRPr="005C3590">
        <w:rPr>
          <w:rFonts w:ascii="Verdana" w:hAnsi="Verdana"/>
          <w:color w:val="auto"/>
        </w:rPr>
        <w:t>very close</w:t>
      </w:r>
      <w:proofErr w:type="gramEnd"/>
      <w:r w:rsidRPr="005C3590">
        <w:rPr>
          <w:rFonts w:ascii="Verdana" w:hAnsi="Verdana"/>
          <w:color w:val="auto"/>
        </w:rPr>
        <w:t xml:space="preserve"> to the area of the Heswall Ward.  For this </w:t>
      </w:r>
      <w:proofErr w:type="gramStart"/>
      <w:r w:rsidRPr="005C3590">
        <w:rPr>
          <w:rFonts w:ascii="Verdana" w:hAnsi="Verdana"/>
          <w:color w:val="auto"/>
        </w:rPr>
        <w:t>particular part</w:t>
      </w:r>
      <w:proofErr w:type="gramEnd"/>
      <w:r w:rsidRPr="005C3590">
        <w:rPr>
          <w:rFonts w:ascii="Verdana" w:hAnsi="Verdana"/>
          <w:color w:val="auto"/>
        </w:rPr>
        <w:t xml:space="preserve"> of Wirral, it shows a depth of understanding of the area and this is appreciated.</w:t>
      </w:r>
    </w:p>
    <w:p w14:paraId="37FAFB52" w14:textId="77777777" w:rsidR="005723A7" w:rsidRPr="005C3590" w:rsidRDefault="005723A7" w:rsidP="005723A7">
      <w:pPr>
        <w:pStyle w:val="Body"/>
        <w:rPr>
          <w:rFonts w:ascii="Verdana" w:hAnsi="Verdana"/>
          <w:color w:val="auto"/>
        </w:rPr>
      </w:pPr>
    </w:p>
    <w:p w14:paraId="2E247EAE" w14:textId="7D48EDB7" w:rsidR="005723A7" w:rsidRPr="005C3590" w:rsidRDefault="005723A7" w:rsidP="005723A7">
      <w:pPr>
        <w:pStyle w:val="Body"/>
        <w:rPr>
          <w:rFonts w:ascii="Verdana" w:hAnsi="Verdana"/>
          <w:color w:val="auto"/>
        </w:rPr>
      </w:pPr>
      <w:r w:rsidRPr="005C3590">
        <w:rPr>
          <w:rFonts w:ascii="Verdana" w:hAnsi="Verdana"/>
          <w:color w:val="auto"/>
        </w:rPr>
        <w:t>The Local Plan should provide for better / improved / stronger control of use for equine activities.</w:t>
      </w:r>
    </w:p>
    <w:bookmarkEnd w:id="0"/>
    <w:p w14:paraId="036ABCA9" w14:textId="77777777" w:rsidR="001E2130" w:rsidRPr="005C3590" w:rsidRDefault="001E2130" w:rsidP="001E2130">
      <w:pPr>
        <w:pStyle w:val="Body"/>
        <w:rPr>
          <w:rFonts w:ascii="Verdana" w:hAnsi="Verdana"/>
          <w:color w:val="auto"/>
        </w:rPr>
      </w:pPr>
    </w:p>
    <w:p w14:paraId="2A80072F" w14:textId="30154580" w:rsidR="001E2130" w:rsidRPr="005C3590" w:rsidRDefault="003E4BC6" w:rsidP="00E817F0">
      <w:pPr>
        <w:pStyle w:val="Body"/>
        <w:numPr>
          <w:ilvl w:val="0"/>
          <w:numId w:val="7"/>
        </w:numPr>
        <w:rPr>
          <w:rFonts w:ascii="Verdana" w:hAnsi="Verdana"/>
          <w:color w:val="auto"/>
        </w:rPr>
      </w:pPr>
      <w:r w:rsidRPr="005C3590">
        <w:rPr>
          <w:rFonts w:ascii="Verdana" w:hAnsi="Verdana"/>
          <w:color w:val="auto"/>
        </w:rPr>
        <w:t>Before commenting on the Addendum (ECC5.6), the Heswall Society would like to comment on ECC 5.5</w:t>
      </w:r>
      <w:r w:rsidR="00E817F0" w:rsidRPr="005C3590">
        <w:rPr>
          <w:rFonts w:ascii="Verdana" w:hAnsi="Verdana"/>
          <w:color w:val="auto"/>
        </w:rPr>
        <w:t xml:space="preserve"> and specific</w:t>
      </w:r>
      <w:r w:rsidR="00B224B5" w:rsidRPr="005C3590">
        <w:rPr>
          <w:rFonts w:ascii="Verdana" w:hAnsi="Verdana"/>
          <w:color w:val="auto"/>
        </w:rPr>
        <w:t>a</w:t>
      </w:r>
      <w:r w:rsidR="00E817F0" w:rsidRPr="005C3590">
        <w:rPr>
          <w:rFonts w:ascii="Verdana" w:hAnsi="Verdana"/>
          <w:color w:val="auto"/>
        </w:rPr>
        <w:t xml:space="preserve">lly on </w:t>
      </w:r>
      <w:r w:rsidR="001E2130" w:rsidRPr="005C3590">
        <w:rPr>
          <w:rFonts w:ascii="Verdana" w:hAnsi="Verdana"/>
          <w:color w:val="auto"/>
        </w:rPr>
        <w:t xml:space="preserve">Plots SP058 </w:t>
      </w:r>
      <w:proofErr w:type="gramStart"/>
      <w:r w:rsidR="001E2130" w:rsidRPr="005C3590">
        <w:rPr>
          <w:rFonts w:ascii="Verdana" w:hAnsi="Verdana"/>
          <w:color w:val="auto"/>
        </w:rPr>
        <w:t>C,D</w:t>
      </w:r>
      <w:proofErr w:type="gramEnd"/>
      <w:r w:rsidR="001E2130" w:rsidRPr="005C3590">
        <w:rPr>
          <w:rFonts w:ascii="Verdana" w:hAnsi="Verdana"/>
          <w:color w:val="auto"/>
        </w:rPr>
        <w:t xml:space="preserve"> and E</w:t>
      </w:r>
      <w:r w:rsidR="00E817F0" w:rsidRPr="005C3590">
        <w:rPr>
          <w:rFonts w:ascii="Verdana" w:hAnsi="Verdana"/>
          <w:color w:val="auto"/>
        </w:rPr>
        <w:t>.</w:t>
      </w:r>
    </w:p>
    <w:p w14:paraId="0CA072EA" w14:textId="77777777" w:rsidR="001E2130" w:rsidRPr="005C3590" w:rsidRDefault="001E2130" w:rsidP="001E2130">
      <w:pPr>
        <w:pStyle w:val="Body"/>
        <w:rPr>
          <w:rFonts w:ascii="Verdana" w:hAnsi="Verdana"/>
          <w:color w:val="auto"/>
        </w:rPr>
      </w:pPr>
    </w:p>
    <w:p w14:paraId="2688C349" w14:textId="551101D7" w:rsidR="001E2130" w:rsidRPr="005C3590" w:rsidRDefault="001E2130" w:rsidP="00E817F0">
      <w:pPr>
        <w:pStyle w:val="Body"/>
        <w:numPr>
          <w:ilvl w:val="1"/>
          <w:numId w:val="7"/>
        </w:numPr>
        <w:rPr>
          <w:rFonts w:ascii="Verdana" w:hAnsi="Verdana"/>
          <w:color w:val="auto"/>
        </w:rPr>
      </w:pPr>
      <w:r w:rsidRPr="005C3590">
        <w:rPr>
          <w:rFonts w:ascii="Verdana" w:hAnsi="Verdana"/>
          <w:color w:val="auto"/>
        </w:rPr>
        <w:t>The Report states of Landscape Character:</w:t>
      </w:r>
    </w:p>
    <w:p w14:paraId="06E614FB" w14:textId="3BEA90EE" w:rsidR="001E2130" w:rsidRPr="005C3590" w:rsidRDefault="001E2130" w:rsidP="001E2130">
      <w:pPr>
        <w:pStyle w:val="Default"/>
        <w:rPr>
          <w:rFonts w:ascii="Verdana" w:hAnsi="Verdana"/>
          <w:i/>
          <w:iCs/>
          <w:color w:val="auto"/>
        </w:rPr>
      </w:pPr>
      <w:r w:rsidRPr="005C3590">
        <w:rPr>
          <w:rFonts w:ascii="Verdana" w:hAnsi="Verdana"/>
          <w:i/>
          <w:iCs/>
          <w:color w:val="auto"/>
        </w:rPr>
        <w:t>The area (incorporating SP058C, SP058D and SP058</w:t>
      </w:r>
      <w:r w:rsidR="003E4BC6" w:rsidRPr="005C3590">
        <w:rPr>
          <w:rFonts w:ascii="Verdana" w:hAnsi="Verdana"/>
          <w:i/>
          <w:iCs/>
          <w:color w:val="auto"/>
        </w:rPr>
        <w:t>E</w:t>
      </w:r>
      <w:r w:rsidRPr="005C3590">
        <w:rPr>
          <w:rFonts w:ascii="Verdana" w:hAnsi="Verdana"/>
          <w:i/>
          <w:iCs/>
          <w:color w:val="auto"/>
        </w:rPr>
        <w:t>) is situated in the south-west of the borough and lies to the northwest</w:t>
      </w:r>
      <w:r w:rsidR="003E4BC6" w:rsidRPr="005C3590">
        <w:rPr>
          <w:rFonts w:ascii="Verdana" w:hAnsi="Verdana"/>
          <w:i/>
          <w:iCs/>
          <w:color w:val="auto"/>
        </w:rPr>
        <w:t xml:space="preserve"> </w:t>
      </w:r>
      <w:r w:rsidRPr="005C3590">
        <w:rPr>
          <w:rFonts w:ascii="Verdana" w:hAnsi="Verdana"/>
          <w:i/>
          <w:iCs/>
          <w:color w:val="auto"/>
        </w:rPr>
        <w:t>of Heswall. Residential properties lie along its eastern and southern boundaries and the Wirral Way (Long Distance</w:t>
      </w:r>
      <w:r w:rsidR="003E4BC6" w:rsidRPr="005C3590">
        <w:rPr>
          <w:rFonts w:ascii="Verdana" w:hAnsi="Verdana"/>
          <w:i/>
          <w:iCs/>
          <w:color w:val="auto"/>
        </w:rPr>
        <w:t xml:space="preserve"> </w:t>
      </w:r>
      <w:r w:rsidRPr="005C3590">
        <w:rPr>
          <w:rFonts w:ascii="Verdana" w:hAnsi="Verdana"/>
          <w:i/>
          <w:iCs/>
          <w:color w:val="auto"/>
        </w:rPr>
        <w:t>Footpath / National Cycle Route 89 and part of Wirral Country Park) forms the south-western boundary, with field</w:t>
      </w:r>
    </w:p>
    <w:p w14:paraId="28D65C23" w14:textId="5316CA52" w:rsidR="001E2130" w:rsidRPr="005C3590" w:rsidRDefault="001E2130" w:rsidP="001E2130">
      <w:pPr>
        <w:pStyle w:val="Default"/>
        <w:rPr>
          <w:rFonts w:ascii="Verdana" w:hAnsi="Verdana"/>
          <w:i/>
          <w:iCs/>
          <w:color w:val="auto"/>
        </w:rPr>
      </w:pPr>
      <w:r w:rsidRPr="005C3590">
        <w:rPr>
          <w:rFonts w:ascii="Verdana" w:hAnsi="Verdana"/>
          <w:i/>
          <w:iCs/>
          <w:color w:val="auto"/>
        </w:rPr>
        <w:t>boundaries defining the northern edge of the area. Piper's Lane bisects the area (marking the division of the land</w:t>
      </w:r>
      <w:r w:rsidR="003E4BC6" w:rsidRPr="005C3590">
        <w:rPr>
          <w:rFonts w:ascii="Verdana" w:hAnsi="Verdana"/>
          <w:i/>
          <w:iCs/>
          <w:color w:val="auto"/>
        </w:rPr>
        <w:t xml:space="preserve"> </w:t>
      </w:r>
      <w:r w:rsidRPr="005C3590">
        <w:rPr>
          <w:rFonts w:ascii="Verdana" w:hAnsi="Verdana"/>
          <w:i/>
          <w:iCs/>
          <w:color w:val="auto"/>
        </w:rPr>
        <w:t>parcels).</w:t>
      </w:r>
    </w:p>
    <w:p w14:paraId="7A1CAF53" w14:textId="77777777" w:rsidR="00E817F0" w:rsidRPr="005C3590" w:rsidRDefault="00E817F0" w:rsidP="00E817F0">
      <w:pPr>
        <w:pStyle w:val="Body"/>
        <w:rPr>
          <w:rFonts w:ascii="Verdana" w:hAnsi="Verdana"/>
          <w:color w:val="auto"/>
        </w:rPr>
      </w:pPr>
    </w:p>
    <w:p w14:paraId="1EE39E24" w14:textId="06D21E38" w:rsidR="00E817F0" w:rsidRPr="005C3590" w:rsidRDefault="00E817F0" w:rsidP="00E817F0">
      <w:pPr>
        <w:pStyle w:val="Body"/>
        <w:ind w:left="720"/>
        <w:rPr>
          <w:rFonts w:ascii="Verdana" w:hAnsi="Verdana"/>
          <w:color w:val="auto"/>
        </w:rPr>
      </w:pPr>
      <w:r w:rsidRPr="005C3590">
        <w:rPr>
          <w:rFonts w:ascii="Verdana" w:hAnsi="Verdana"/>
          <w:color w:val="auto"/>
        </w:rPr>
        <w:t xml:space="preserve">There is a </w:t>
      </w:r>
      <w:proofErr w:type="gramStart"/>
      <w:r w:rsidRPr="005C3590">
        <w:rPr>
          <w:rFonts w:ascii="Verdana" w:hAnsi="Verdana"/>
          <w:color w:val="auto"/>
        </w:rPr>
        <w:t>long standing</w:t>
      </w:r>
      <w:proofErr w:type="gramEnd"/>
      <w:r w:rsidRPr="005C3590">
        <w:rPr>
          <w:rFonts w:ascii="Verdana" w:hAnsi="Verdana"/>
          <w:color w:val="auto"/>
        </w:rPr>
        <w:t xml:space="preserve"> footpath through SP058E linking onto Pipers Lane</w:t>
      </w:r>
    </w:p>
    <w:p w14:paraId="429967A2" w14:textId="77777777" w:rsidR="001E2130" w:rsidRPr="005C3590" w:rsidRDefault="001E2130" w:rsidP="00E817F0">
      <w:pPr>
        <w:pStyle w:val="Body"/>
        <w:ind w:left="720"/>
        <w:rPr>
          <w:rFonts w:ascii="Verdana" w:hAnsi="Verdana"/>
          <w:color w:val="auto"/>
        </w:rPr>
      </w:pPr>
    </w:p>
    <w:p w14:paraId="12297F2E" w14:textId="27C0F24B" w:rsidR="001E2130" w:rsidRPr="005C3590" w:rsidRDefault="003E4BC6" w:rsidP="00E817F0">
      <w:pPr>
        <w:pStyle w:val="Body"/>
        <w:ind w:left="720"/>
        <w:rPr>
          <w:rFonts w:ascii="Verdana" w:hAnsi="Verdana"/>
          <w:color w:val="auto"/>
        </w:rPr>
      </w:pPr>
      <w:r w:rsidRPr="005C3590">
        <w:rPr>
          <w:rFonts w:ascii="Verdana" w:hAnsi="Verdana"/>
          <w:color w:val="auto"/>
        </w:rPr>
        <w:t>I</w:t>
      </w:r>
      <w:r w:rsidR="001E2130" w:rsidRPr="005C3590">
        <w:rPr>
          <w:rFonts w:ascii="Verdana" w:hAnsi="Verdana"/>
          <w:color w:val="auto"/>
        </w:rPr>
        <w:t>n 1967 the Court of Appeal refused the appeal of an ancient highway maintainable by the public as far as Kitts Field.   Examination of Tithe Maps shows that Kitts Field is glebe land lying at the furthest extremity of the track which is a continuation of the bitumen surfaced section of the lane.  Kit</w:t>
      </w:r>
      <w:r w:rsidRPr="005C3590">
        <w:rPr>
          <w:rFonts w:ascii="Verdana" w:hAnsi="Verdana"/>
          <w:color w:val="auto"/>
        </w:rPr>
        <w:t>t</w:t>
      </w:r>
      <w:r w:rsidR="001E2130" w:rsidRPr="005C3590">
        <w:rPr>
          <w:rFonts w:ascii="Verdana" w:hAnsi="Verdana"/>
          <w:color w:val="auto"/>
        </w:rPr>
        <w:t>s Field is a narrow field which separates this extremity of Pipers Lane from The Dungeons</w:t>
      </w:r>
      <w:r w:rsidR="00FD6DF0" w:rsidRPr="005C3590">
        <w:rPr>
          <w:rFonts w:ascii="Verdana" w:hAnsi="Verdana"/>
          <w:color w:val="auto"/>
        </w:rPr>
        <w:t xml:space="preserve"> (see Appendix)</w:t>
      </w:r>
      <w:r w:rsidR="001E2130" w:rsidRPr="005C3590">
        <w:rPr>
          <w:rFonts w:ascii="Verdana" w:hAnsi="Verdana"/>
          <w:color w:val="auto"/>
        </w:rPr>
        <w:t>.</w:t>
      </w:r>
    </w:p>
    <w:p w14:paraId="5D00CC92" w14:textId="77777777" w:rsidR="001E2130" w:rsidRPr="005C3590" w:rsidRDefault="001E2130" w:rsidP="00E817F0">
      <w:pPr>
        <w:pStyle w:val="Body"/>
        <w:ind w:left="720"/>
        <w:rPr>
          <w:rFonts w:ascii="Verdana" w:hAnsi="Verdana"/>
          <w:color w:val="auto"/>
        </w:rPr>
      </w:pPr>
    </w:p>
    <w:p w14:paraId="02B4D41C" w14:textId="28C43A48" w:rsidR="001E2130" w:rsidRPr="005C3590" w:rsidRDefault="001E2130" w:rsidP="00E817F0">
      <w:pPr>
        <w:pStyle w:val="Body"/>
        <w:ind w:left="720"/>
        <w:rPr>
          <w:rFonts w:ascii="Verdana" w:hAnsi="Verdana"/>
          <w:color w:val="auto"/>
        </w:rPr>
      </w:pPr>
      <w:r w:rsidRPr="005C3590">
        <w:rPr>
          <w:rFonts w:ascii="Verdana" w:hAnsi="Verdana"/>
          <w:color w:val="auto"/>
        </w:rPr>
        <w:t>Clearly there is a public right to pass along this ancient highway, as far as Kitts Field, passing through its old field boundary landscape and ancient hedgerows.</w:t>
      </w:r>
    </w:p>
    <w:p w14:paraId="3E1AE502" w14:textId="77777777" w:rsidR="003E4BC6" w:rsidRPr="005C3590" w:rsidRDefault="003E4BC6" w:rsidP="00E817F0">
      <w:pPr>
        <w:pStyle w:val="Body"/>
        <w:ind w:left="720"/>
        <w:rPr>
          <w:rFonts w:ascii="Verdana" w:hAnsi="Verdana"/>
          <w:color w:val="auto"/>
        </w:rPr>
      </w:pPr>
    </w:p>
    <w:p w14:paraId="3F271295" w14:textId="7A58DCC8" w:rsidR="001E2130" w:rsidRPr="005C3590" w:rsidRDefault="001E2130" w:rsidP="00E817F0">
      <w:pPr>
        <w:pStyle w:val="Body"/>
        <w:ind w:left="720"/>
        <w:rPr>
          <w:rFonts w:ascii="Verdana" w:hAnsi="Verdana"/>
          <w:color w:val="auto"/>
        </w:rPr>
      </w:pPr>
      <w:r w:rsidRPr="005C3590">
        <w:rPr>
          <w:rFonts w:ascii="Verdana" w:hAnsi="Verdana"/>
          <w:color w:val="auto"/>
        </w:rPr>
        <w:t>The footpath from the Wirral Way presents the opportunity to explore the landscape of SP058C and D together with the old field systems and hedges to the North.</w:t>
      </w:r>
    </w:p>
    <w:p w14:paraId="5900B592" w14:textId="77777777" w:rsidR="001E2130" w:rsidRPr="005C3590" w:rsidRDefault="001E2130" w:rsidP="00E817F0">
      <w:pPr>
        <w:pStyle w:val="Body"/>
        <w:ind w:left="720"/>
        <w:rPr>
          <w:rFonts w:ascii="Verdana" w:hAnsi="Verdana"/>
          <w:color w:val="auto"/>
        </w:rPr>
      </w:pPr>
    </w:p>
    <w:p w14:paraId="0B427AE8" w14:textId="64EC6BB5" w:rsidR="001E2130" w:rsidRPr="005C3590" w:rsidRDefault="003E4BC6" w:rsidP="00E817F0">
      <w:pPr>
        <w:pStyle w:val="Body"/>
        <w:ind w:left="720"/>
        <w:rPr>
          <w:rFonts w:ascii="Verdana" w:hAnsi="Verdana"/>
          <w:color w:val="auto"/>
        </w:rPr>
      </w:pPr>
      <w:r w:rsidRPr="005C3590">
        <w:rPr>
          <w:rFonts w:ascii="Verdana" w:hAnsi="Verdana"/>
          <w:color w:val="auto"/>
        </w:rPr>
        <w:t>T</w:t>
      </w:r>
      <w:r w:rsidR="001E2130" w:rsidRPr="005C3590">
        <w:rPr>
          <w:rFonts w:ascii="Verdana" w:hAnsi="Verdana"/>
          <w:color w:val="auto"/>
        </w:rPr>
        <w:t xml:space="preserve">he foregoing increases the landscape value of SP058 </w:t>
      </w:r>
      <w:proofErr w:type="gramStart"/>
      <w:r w:rsidR="001E2130" w:rsidRPr="005C3590">
        <w:rPr>
          <w:rFonts w:ascii="Verdana" w:hAnsi="Verdana"/>
          <w:color w:val="auto"/>
        </w:rPr>
        <w:t>C,D</w:t>
      </w:r>
      <w:proofErr w:type="gramEnd"/>
      <w:r w:rsidR="001E2130" w:rsidRPr="005C3590">
        <w:rPr>
          <w:rFonts w:ascii="Verdana" w:hAnsi="Verdana"/>
          <w:color w:val="auto"/>
        </w:rPr>
        <w:t xml:space="preserve"> and E</w:t>
      </w:r>
    </w:p>
    <w:p w14:paraId="4EF41DF3" w14:textId="77777777" w:rsidR="00E817F0" w:rsidRPr="005C3590" w:rsidRDefault="00E817F0" w:rsidP="00E817F0">
      <w:pPr>
        <w:pStyle w:val="Body"/>
        <w:rPr>
          <w:rFonts w:ascii="Verdana" w:hAnsi="Verdana"/>
          <w:color w:val="auto"/>
        </w:rPr>
      </w:pPr>
    </w:p>
    <w:p w14:paraId="5740B6FB" w14:textId="68B88EF4" w:rsidR="00E817F0" w:rsidRPr="005C3590" w:rsidRDefault="00E817F0" w:rsidP="00E817F0">
      <w:pPr>
        <w:pStyle w:val="Body"/>
        <w:numPr>
          <w:ilvl w:val="1"/>
          <w:numId w:val="7"/>
        </w:numPr>
        <w:rPr>
          <w:rFonts w:ascii="Verdana" w:hAnsi="Verdana"/>
          <w:color w:val="auto"/>
        </w:rPr>
      </w:pPr>
      <w:r w:rsidRPr="005C3590">
        <w:rPr>
          <w:rFonts w:ascii="Verdana" w:hAnsi="Verdana"/>
          <w:color w:val="auto"/>
        </w:rPr>
        <w:t xml:space="preserve">The Society </w:t>
      </w:r>
      <w:r w:rsidR="001E2130" w:rsidRPr="005C3590">
        <w:rPr>
          <w:rFonts w:ascii="Verdana" w:hAnsi="Verdana"/>
          <w:color w:val="auto"/>
        </w:rPr>
        <w:t>would add to “guidance” a recommendation to improve awareness of access along the length of Pipers Lane to Kitts Field by signposting and marking of maps (including the link from the Wirral Way.  We would also add a recommendation to explore extending access over the short length of Kitts Field to The Dungeons Footpath.</w:t>
      </w:r>
    </w:p>
    <w:p w14:paraId="0B510355" w14:textId="77777777" w:rsidR="00E817F0" w:rsidRPr="005C3590" w:rsidRDefault="00E817F0" w:rsidP="00E817F0">
      <w:pPr>
        <w:pStyle w:val="Body"/>
        <w:ind w:left="792"/>
        <w:rPr>
          <w:rFonts w:ascii="Verdana" w:hAnsi="Verdana"/>
          <w:color w:val="auto"/>
        </w:rPr>
      </w:pPr>
    </w:p>
    <w:p w14:paraId="201878F9" w14:textId="23080B00" w:rsidR="001E2130" w:rsidRPr="005C3590" w:rsidRDefault="001E2130" w:rsidP="001E2130">
      <w:pPr>
        <w:pStyle w:val="Body"/>
        <w:numPr>
          <w:ilvl w:val="1"/>
          <w:numId w:val="7"/>
        </w:numPr>
        <w:rPr>
          <w:rFonts w:ascii="Verdana" w:hAnsi="Verdana"/>
          <w:color w:val="auto"/>
        </w:rPr>
      </w:pPr>
      <w:r w:rsidRPr="005C3590">
        <w:rPr>
          <w:rFonts w:ascii="Verdana" w:hAnsi="Verdana"/>
          <w:color w:val="auto"/>
        </w:rPr>
        <w:t xml:space="preserve">In addition to </w:t>
      </w:r>
      <w:r w:rsidR="00E817F0" w:rsidRPr="005C3590">
        <w:rPr>
          <w:rFonts w:ascii="Verdana" w:hAnsi="Verdana"/>
          <w:color w:val="auto"/>
        </w:rPr>
        <w:t xml:space="preserve">specifically commenting on this </w:t>
      </w:r>
      <w:r w:rsidRPr="005C3590">
        <w:rPr>
          <w:rFonts w:ascii="Verdana" w:hAnsi="Verdana"/>
          <w:color w:val="auto"/>
        </w:rPr>
        <w:t xml:space="preserve">consultation </w:t>
      </w:r>
      <w:r w:rsidR="00E817F0" w:rsidRPr="005C3590">
        <w:rPr>
          <w:rFonts w:ascii="Verdana" w:hAnsi="Verdana"/>
          <w:color w:val="auto"/>
        </w:rPr>
        <w:t>the Society would also wish that the</w:t>
      </w:r>
      <w:r w:rsidRPr="005C3590">
        <w:rPr>
          <w:rFonts w:ascii="Verdana" w:hAnsi="Verdana"/>
          <w:color w:val="auto"/>
        </w:rPr>
        <w:t xml:space="preserve"> footpath</w:t>
      </w:r>
      <w:r w:rsidR="00E817F0" w:rsidRPr="005C3590">
        <w:rPr>
          <w:rFonts w:ascii="Verdana" w:hAnsi="Verdana"/>
          <w:color w:val="auto"/>
        </w:rPr>
        <w:t>s</w:t>
      </w:r>
      <w:r w:rsidRPr="005C3590">
        <w:rPr>
          <w:rFonts w:ascii="Verdana" w:hAnsi="Verdana"/>
          <w:color w:val="auto"/>
        </w:rPr>
        <w:t xml:space="preserve"> from the Wirral Way to </w:t>
      </w:r>
      <w:r w:rsidR="00E817F0" w:rsidRPr="005C3590">
        <w:rPr>
          <w:rFonts w:ascii="Verdana" w:hAnsi="Verdana"/>
          <w:color w:val="auto"/>
        </w:rPr>
        <w:t xml:space="preserve">(a) </w:t>
      </w:r>
      <w:r w:rsidRPr="005C3590">
        <w:rPr>
          <w:rFonts w:ascii="Verdana" w:hAnsi="Verdana"/>
          <w:color w:val="auto"/>
        </w:rPr>
        <w:t xml:space="preserve">Pipers Lane and to </w:t>
      </w:r>
      <w:r w:rsidR="00E817F0" w:rsidRPr="005C3590">
        <w:rPr>
          <w:rFonts w:ascii="Verdana" w:hAnsi="Verdana"/>
          <w:color w:val="auto"/>
        </w:rPr>
        <w:t xml:space="preserve">(b) </w:t>
      </w:r>
      <w:r w:rsidRPr="005C3590">
        <w:rPr>
          <w:rFonts w:ascii="Verdana" w:hAnsi="Verdana"/>
          <w:color w:val="auto"/>
        </w:rPr>
        <w:t xml:space="preserve">Kitts Field </w:t>
      </w:r>
      <w:r w:rsidR="00E817F0" w:rsidRPr="005C3590">
        <w:rPr>
          <w:rFonts w:ascii="Verdana" w:hAnsi="Verdana"/>
          <w:color w:val="auto"/>
        </w:rPr>
        <w:t xml:space="preserve">are included </w:t>
      </w:r>
      <w:r w:rsidRPr="005C3590">
        <w:rPr>
          <w:rFonts w:ascii="Verdana" w:hAnsi="Verdana"/>
          <w:color w:val="auto"/>
        </w:rPr>
        <w:t>on the footpaths register.</w:t>
      </w:r>
      <w:r w:rsidR="00E817F0" w:rsidRPr="005C3590">
        <w:rPr>
          <w:rFonts w:ascii="Verdana" w:hAnsi="Verdana"/>
          <w:color w:val="auto"/>
        </w:rPr>
        <w:t xml:space="preserve"> </w:t>
      </w:r>
      <w:r w:rsidRPr="005C3590">
        <w:rPr>
          <w:rFonts w:ascii="Verdana" w:hAnsi="Verdana"/>
          <w:color w:val="auto"/>
        </w:rPr>
        <w:t>The accompanying map is taken from Wirral Council “Walk Wirral South-West Wirral” first published1997.  It shows the link from the Wirral Way to Pipers Lane as a footpath; the extension or Pipers Lane almost to The Dungeons with the end marked no access to (Dungeons) footpath.</w:t>
      </w:r>
      <w:r w:rsidR="00FF527C" w:rsidRPr="005C3590">
        <w:rPr>
          <w:rFonts w:ascii="Verdana" w:hAnsi="Verdana"/>
          <w:color w:val="auto"/>
        </w:rPr>
        <w:t xml:space="preserve"> (Refer to Appendix below).</w:t>
      </w:r>
    </w:p>
    <w:p w14:paraId="77C383BB" w14:textId="77777777" w:rsidR="00FF527C" w:rsidRPr="005C3590" w:rsidRDefault="00FF527C" w:rsidP="00FF527C">
      <w:pPr>
        <w:pStyle w:val="ListParagraph"/>
        <w:rPr>
          <w:rFonts w:ascii="Verdana" w:hAnsi="Verdana"/>
        </w:rPr>
      </w:pPr>
    </w:p>
    <w:p w14:paraId="069AB2A1" w14:textId="22A19472" w:rsidR="00FF527C" w:rsidRPr="005C3590" w:rsidRDefault="00FF527C" w:rsidP="00FF527C">
      <w:pPr>
        <w:pStyle w:val="Body"/>
        <w:rPr>
          <w:rFonts w:ascii="Verdana" w:hAnsi="Verdana"/>
          <w:color w:val="auto"/>
        </w:rPr>
      </w:pPr>
    </w:p>
    <w:p w14:paraId="2BC8A877" w14:textId="4BF3A8E8" w:rsidR="00FF527C" w:rsidRPr="005C3590" w:rsidRDefault="00FF527C" w:rsidP="00FF527C">
      <w:pPr>
        <w:pStyle w:val="Body"/>
        <w:rPr>
          <w:rFonts w:ascii="Verdana" w:hAnsi="Verdana"/>
          <w:color w:val="auto"/>
        </w:rPr>
      </w:pPr>
    </w:p>
    <w:p w14:paraId="5DA3B7A7" w14:textId="77777777" w:rsidR="00FF527C" w:rsidRPr="005C3590" w:rsidRDefault="00FF527C" w:rsidP="00FF527C">
      <w:pPr>
        <w:pStyle w:val="Body"/>
        <w:rPr>
          <w:rFonts w:ascii="Verdana" w:hAnsi="Verdana"/>
          <w:color w:val="auto"/>
        </w:rPr>
      </w:pPr>
    </w:p>
    <w:p w14:paraId="65E5B7F4" w14:textId="77777777" w:rsidR="001E2130" w:rsidRPr="005C3590" w:rsidRDefault="001E2130" w:rsidP="001E2130">
      <w:pPr>
        <w:pStyle w:val="Body"/>
        <w:rPr>
          <w:rFonts w:ascii="Verdana" w:hAnsi="Verdana"/>
          <w:color w:val="auto"/>
        </w:rPr>
      </w:pPr>
    </w:p>
    <w:p w14:paraId="1FAD15B4" w14:textId="77777777" w:rsidR="00FF527C" w:rsidRPr="005C3590" w:rsidRDefault="00FF527C" w:rsidP="001E2130">
      <w:pPr>
        <w:pStyle w:val="Body"/>
        <w:rPr>
          <w:rFonts w:ascii="Verdana" w:hAnsi="Verdana"/>
          <w:b/>
          <w:bCs/>
          <w:color w:val="auto"/>
        </w:rPr>
      </w:pPr>
    </w:p>
    <w:p w14:paraId="38CF0121" w14:textId="753B8136" w:rsidR="001E2130" w:rsidRPr="005C3590" w:rsidRDefault="001E2130" w:rsidP="00FF527C">
      <w:pPr>
        <w:pStyle w:val="Body"/>
        <w:numPr>
          <w:ilvl w:val="0"/>
          <w:numId w:val="7"/>
        </w:numPr>
        <w:rPr>
          <w:rFonts w:ascii="Verdana" w:hAnsi="Verdana"/>
          <w:color w:val="auto"/>
        </w:rPr>
      </w:pPr>
      <w:r w:rsidRPr="005C3590">
        <w:rPr>
          <w:rFonts w:ascii="Verdana" w:hAnsi="Verdana"/>
          <w:color w:val="auto"/>
        </w:rPr>
        <w:lastRenderedPageBreak/>
        <w:t>Wirral Site Specific Landscape Sensitivity Assessment Addendum 2020</w:t>
      </w:r>
    </w:p>
    <w:p w14:paraId="786B21A2" w14:textId="77777777" w:rsidR="001E2130" w:rsidRPr="005C3590" w:rsidRDefault="001E2130" w:rsidP="001E2130">
      <w:pPr>
        <w:pStyle w:val="Body"/>
        <w:rPr>
          <w:rFonts w:ascii="Verdana" w:hAnsi="Verdana"/>
          <w:color w:val="auto"/>
        </w:rPr>
      </w:pPr>
    </w:p>
    <w:p w14:paraId="40F62B1A" w14:textId="113866E9" w:rsidR="001E2130" w:rsidRPr="005C3590" w:rsidRDefault="001E2130" w:rsidP="001E2130">
      <w:pPr>
        <w:pStyle w:val="Body"/>
        <w:rPr>
          <w:rFonts w:ascii="Verdana" w:hAnsi="Verdana"/>
          <w:color w:val="auto"/>
        </w:rPr>
      </w:pPr>
      <w:r w:rsidRPr="005C3590">
        <w:rPr>
          <w:rFonts w:ascii="Verdana" w:hAnsi="Verdana"/>
          <w:color w:val="auto"/>
        </w:rPr>
        <w:t xml:space="preserve">SP 062 </w:t>
      </w:r>
      <w:r w:rsidR="00B224B5" w:rsidRPr="005C3590">
        <w:rPr>
          <w:rFonts w:ascii="Verdana" w:hAnsi="Verdana"/>
          <w:color w:val="auto"/>
        </w:rPr>
        <w:t>–</w:t>
      </w:r>
      <w:r w:rsidRPr="005C3590">
        <w:rPr>
          <w:rFonts w:ascii="Verdana" w:hAnsi="Verdana"/>
          <w:color w:val="auto"/>
        </w:rPr>
        <w:t xml:space="preserve"> </w:t>
      </w:r>
      <w:r w:rsidR="00B224B5" w:rsidRPr="005C3590">
        <w:rPr>
          <w:rFonts w:ascii="Verdana" w:hAnsi="Verdana"/>
          <w:color w:val="auto"/>
        </w:rPr>
        <w:t>The Society has n</w:t>
      </w:r>
      <w:r w:rsidRPr="005C3590">
        <w:rPr>
          <w:rFonts w:ascii="Verdana" w:hAnsi="Verdana"/>
          <w:color w:val="auto"/>
        </w:rPr>
        <w:t>othing to add to the Report on this area</w:t>
      </w:r>
      <w:r w:rsidR="00B224B5" w:rsidRPr="005C3590">
        <w:rPr>
          <w:rFonts w:ascii="Verdana" w:hAnsi="Verdana"/>
          <w:color w:val="auto"/>
        </w:rPr>
        <w:t>.</w:t>
      </w:r>
    </w:p>
    <w:p w14:paraId="51FA0022" w14:textId="6CA54DFE" w:rsidR="001E2130" w:rsidRPr="005C3590" w:rsidRDefault="001E2130" w:rsidP="001E2130">
      <w:pPr>
        <w:pStyle w:val="Body"/>
        <w:rPr>
          <w:rFonts w:ascii="Verdana" w:hAnsi="Verdana"/>
          <w:color w:val="auto"/>
        </w:rPr>
      </w:pPr>
      <w:r w:rsidRPr="005C3590">
        <w:rPr>
          <w:rFonts w:ascii="Verdana" w:hAnsi="Verdana"/>
          <w:color w:val="auto"/>
        </w:rPr>
        <w:t xml:space="preserve">SP 064E - </w:t>
      </w:r>
      <w:r w:rsidR="00B224B5" w:rsidRPr="005C3590">
        <w:rPr>
          <w:rFonts w:ascii="Verdana" w:hAnsi="Verdana"/>
          <w:color w:val="auto"/>
        </w:rPr>
        <w:t>The Society has nothing to add to the Report on this area.</w:t>
      </w:r>
    </w:p>
    <w:p w14:paraId="7EE3FAA7" w14:textId="1CADEE21" w:rsidR="001E2130" w:rsidRPr="005C3590" w:rsidRDefault="001E2130" w:rsidP="001E2130">
      <w:pPr>
        <w:pStyle w:val="Body"/>
        <w:rPr>
          <w:rFonts w:ascii="Verdana" w:hAnsi="Verdana"/>
          <w:color w:val="auto"/>
        </w:rPr>
      </w:pPr>
      <w:r w:rsidRPr="005C3590">
        <w:rPr>
          <w:rFonts w:ascii="Verdana" w:hAnsi="Verdana"/>
          <w:color w:val="auto"/>
        </w:rPr>
        <w:t xml:space="preserve">SP 071 - </w:t>
      </w:r>
      <w:r w:rsidR="00B224B5" w:rsidRPr="005C3590">
        <w:rPr>
          <w:rFonts w:ascii="Verdana" w:hAnsi="Verdana"/>
          <w:color w:val="auto"/>
        </w:rPr>
        <w:t>The Society has nothing to add to the Report on this area.</w:t>
      </w:r>
    </w:p>
    <w:p w14:paraId="153FA012" w14:textId="111FD551" w:rsidR="001E2130" w:rsidRPr="005C3590" w:rsidRDefault="001E2130" w:rsidP="001E2130">
      <w:pPr>
        <w:pStyle w:val="Body"/>
        <w:rPr>
          <w:rFonts w:ascii="Verdana" w:hAnsi="Verdana"/>
          <w:color w:val="auto"/>
        </w:rPr>
      </w:pPr>
      <w:r w:rsidRPr="005C3590">
        <w:rPr>
          <w:rFonts w:ascii="Verdana" w:hAnsi="Verdana"/>
          <w:color w:val="auto"/>
        </w:rPr>
        <w:t xml:space="preserve">SP 0109 - </w:t>
      </w:r>
      <w:r w:rsidR="00B224B5" w:rsidRPr="005C3590">
        <w:rPr>
          <w:rFonts w:ascii="Verdana" w:hAnsi="Verdana"/>
          <w:color w:val="auto"/>
        </w:rPr>
        <w:t>The Society has nothing to add to the Report on this area.</w:t>
      </w:r>
    </w:p>
    <w:p w14:paraId="3974FFE0" w14:textId="11AC2756" w:rsidR="00B224B5" w:rsidRPr="005C3590" w:rsidRDefault="001E2130" w:rsidP="00B224B5">
      <w:pPr>
        <w:pStyle w:val="Body"/>
        <w:rPr>
          <w:rFonts w:ascii="Verdana" w:hAnsi="Verdana"/>
          <w:color w:val="auto"/>
        </w:rPr>
      </w:pPr>
      <w:r w:rsidRPr="005C3590">
        <w:rPr>
          <w:rFonts w:ascii="Verdana" w:hAnsi="Verdana"/>
          <w:color w:val="auto"/>
        </w:rPr>
        <w:t xml:space="preserve">Area Reference 7.5 - </w:t>
      </w:r>
      <w:r w:rsidR="00B224B5" w:rsidRPr="005C3590">
        <w:rPr>
          <w:rFonts w:ascii="Verdana" w:hAnsi="Verdana"/>
          <w:color w:val="auto"/>
        </w:rPr>
        <w:t>The MEAS reports included specific references to SHLAA  1939 and SHLAA  1968 which are SP103 and part SP105 respectively, wherein due to Ecology and Archaeology factors the overall rating was red alert, i.e. adverse factor against development. They also stated the</w:t>
      </w:r>
      <w:r w:rsidR="00B224B5" w:rsidRPr="005C3590">
        <w:rPr>
          <w:rFonts w:ascii="Verdana" w:hAnsi="Verdana"/>
          <w:color w:val="auto"/>
          <w:spacing w:val="54"/>
        </w:rPr>
        <w:t xml:space="preserve"> </w:t>
      </w:r>
      <w:proofErr w:type="gramStart"/>
      <w:r w:rsidR="00B224B5" w:rsidRPr="005C3590">
        <w:rPr>
          <w:rFonts w:ascii="Verdana" w:hAnsi="Verdana"/>
          <w:color w:val="auto"/>
          <w:spacing w:val="-4"/>
        </w:rPr>
        <w:t>following:-</w:t>
      </w:r>
      <w:proofErr w:type="gramEnd"/>
    </w:p>
    <w:p w14:paraId="58890D2A" w14:textId="48EB627C" w:rsidR="00B224B5" w:rsidRPr="005C3590" w:rsidRDefault="00B224B5" w:rsidP="00B224B5">
      <w:pPr>
        <w:spacing w:line="266" w:lineRule="auto"/>
        <w:ind w:left="114" w:right="247" w:hanging="2"/>
        <w:rPr>
          <w:rFonts w:ascii="Verdana" w:hAnsi="Verdana"/>
          <w:b/>
        </w:rPr>
      </w:pPr>
      <w:r w:rsidRPr="005C3590">
        <w:rPr>
          <w:rFonts w:ascii="Verdana" w:hAnsi="Verdana"/>
          <w:spacing w:val="-3"/>
          <w:w w:val="105"/>
        </w:rPr>
        <w:t>"Significant</w:t>
      </w:r>
      <w:r w:rsidRPr="005C3590">
        <w:rPr>
          <w:rFonts w:ascii="Verdana" w:hAnsi="Verdana"/>
          <w:spacing w:val="-36"/>
          <w:w w:val="105"/>
        </w:rPr>
        <w:t xml:space="preserve"> </w:t>
      </w:r>
      <w:r w:rsidR="006E312C" w:rsidRPr="005C3590">
        <w:rPr>
          <w:rFonts w:ascii="Verdana" w:hAnsi="Verdana"/>
          <w:spacing w:val="-7"/>
          <w:w w:val="105"/>
        </w:rPr>
        <w:t>deliverability</w:t>
      </w:r>
      <w:r w:rsidRPr="005C3590">
        <w:rPr>
          <w:rFonts w:ascii="Verdana" w:hAnsi="Verdana"/>
          <w:spacing w:val="-19"/>
          <w:w w:val="105"/>
        </w:rPr>
        <w:t xml:space="preserve"> </w:t>
      </w:r>
      <w:r w:rsidRPr="005C3590">
        <w:rPr>
          <w:rFonts w:ascii="Verdana" w:hAnsi="Verdana"/>
          <w:w w:val="105"/>
        </w:rPr>
        <w:t>constraint.</w:t>
      </w:r>
      <w:r w:rsidRPr="005C3590">
        <w:rPr>
          <w:rFonts w:ascii="Verdana" w:hAnsi="Verdana"/>
          <w:spacing w:val="-10"/>
          <w:w w:val="105"/>
        </w:rPr>
        <w:t xml:space="preserve"> </w:t>
      </w:r>
      <w:r w:rsidRPr="005C3590">
        <w:rPr>
          <w:rFonts w:ascii="Verdana" w:hAnsi="Verdana"/>
          <w:w w:val="105"/>
        </w:rPr>
        <w:t>Further</w:t>
      </w:r>
      <w:r w:rsidRPr="005C3590">
        <w:rPr>
          <w:rFonts w:ascii="Verdana" w:hAnsi="Verdana"/>
          <w:spacing w:val="-14"/>
          <w:w w:val="105"/>
        </w:rPr>
        <w:t xml:space="preserve"> </w:t>
      </w:r>
      <w:r w:rsidRPr="005C3590">
        <w:rPr>
          <w:rFonts w:ascii="Verdana" w:hAnsi="Verdana"/>
          <w:w w:val="105"/>
        </w:rPr>
        <w:t>assessment</w:t>
      </w:r>
      <w:r w:rsidRPr="005C3590">
        <w:rPr>
          <w:rFonts w:ascii="Verdana" w:hAnsi="Verdana"/>
          <w:spacing w:val="-6"/>
          <w:w w:val="105"/>
        </w:rPr>
        <w:t xml:space="preserve"> </w:t>
      </w:r>
      <w:r w:rsidRPr="005C3590">
        <w:rPr>
          <w:rFonts w:ascii="Verdana" w:hAnsi="Verdana"/>
          <w:w w:val="105"/>
        </w:rPr>
        <w:t>and</w:t>
      </w:r>
      <w:r w:rsidRPr="005C3590">
        <w:rPr>
          <w:rFonts w:ascii="Verdana" w:hAnsi="Verdana"/>
          <w:spacing w:val="-23"/>
          <w:w w:val="105"/>
        </w:rPr>
        <w:t xml:space="preserve"> </w:t>
      </w:r>
      <w:r w:rsidRPr="005C3590">
        <w:rPr>
          <w:rFonts w:ascii="Verdana" w:hAnsi="Verdana"/>
          <w:w w:val="105"/>
        </w:rPr>
        <w:t>evidence</w:t>
      </w:r>
      <w:r w:rsidRPr="005C3590">
        <w:rPr>
          <w:rFonts w:ascii="Verdana" w:hAnsi="Verdana"/>
          <w:spacing w:val="-8"/>
          <w:w w:val="105"/>
        </w:rPr>
        <w:t xml:space="preserve"> </w:t>
      </w:r>
      <w:r w:rsidRPr="005C3590">
        <w:rPr>
          <w:rFonts w:ascii="Verdana" w:hAnsi="Verdana"/>
          <w:w w:val="105"/>
        </w:rPr>
        <w:t>gathering</w:t>
      </w:r>
      <w:r w:rsidRPr="005C3590">
        <w:rPr>
          <w:rFonts w:ascii="Verdana" w:hAnsi="Verdana"/>
          <w:spacing w:val="-13"/>
          <w:w w:val="105"/>
        </w:rPr>
        <w:t xml:space="preserve"> </w:t>
      </w:r>
      <w:r w:rsidRPr="005C3590">
        <w:rPr>
          <w:rFonts w:ascii="Verdana" w:hAnsi="Verdana"/>
          <w:w w:val="105"/>
        </w:rPr>
        <w:t>unlikely</w:t>
      </w:r>
      <w:r w:rsidRPr="005C3590">
        <w:rPr>
          <w:rFonts w:ascii="Verdana" w:hAnsi="Verdana"/>
          <w:spacing w:val="-15"/>
          <w:w w:val="105"/>
        </w:rPr>
        <w:t xml:space="preserve"> </w:t>
      </w:r>
      <w:r w:rsidRPr="005C3590">
        <w:rPr>
          <w:rFonts w:ascii="Verdana" w:hAnsi="Verdana"/>
          <w:w w:val="105"/>
        </w:rPr>
        <w:t>to</w:t>
      </w:r>
      <w:r w:rsidRPr="005C3590">
        <w:rPr>
          <w:rFonts w:ascii="Verdana" w:hAnsi="Verdana"/>
          <w:spacing w:val="-21"/>
          <w:w w:val="105"/>
        </w:rPr>
        <w:t xml:space="preserve"> </w:t>
      </w:r>
      <w:r w:rsidRPr="005C3590">
        <w:rPr>
          <w:rFonts w:ascii="Verdana" w:hAnsi="Verdana"/>
          <w:w w:val="105"/>
        </w:rPr>
        <w:t>resolve</w:t>
      </w:r>
      <w:r w:rsidRPr="005C3590">
        <w:rPr>
          <w:rFonts w:ascii="Verdana" w:hAnsi="Verdana"/>
          <w:spacing w:val="-15"/>
          <w:w w:val="105"/>
        </w:rPr>
        <w:t xml:space="preserve"> </w:t>
      </w:r>
      <w:r w:rsidRPr="005C3590">
        <w:rPr>
          <w:rFonts w:ascii="Verdana" w:hAnsi="Verdana"/>
          <w:w w:val="105"/>
        </w:rPr>
        <w:t xml:space="preserve">deliverability at either allocation or planning application </w:t>
      </w:r>
      <w:r w:rsidRPr="005C3590">
        <w:rPr>
          <w:rFonts w:ascii="Verdana" w:hAnsi="Verdana"/>
          <w:spacing w:val="-7"/>
          <w:w w:val="105"/>
        </w:rPr>
        <w:t xml:space="preserve">stage. </w:t>
      </w:r>
      <w:r w:rsidRPr="005C3590">
        <w:rPr>
          <w:rFonts w:ascii="Verdana" w:hAnsi="Verdana"/>
          <w:b/>
          <w:w w:val="105"/>
        </w:rPr>
        <w:t>Recommended do not</w:t>
      </w:r>
      <w:r w:rsidRPr="005C3590">
        <w:rPr>
          <w:rFonts w:ascii="Verdana" w:hAnsi="Verdana"/>
          <w:b/>
          <w:spacing w:val="-30"/>
          <w:w w:val="105"/>
        </w:rPr>
        <w:t xml:space="preserve"> </w:t>
      </w:r>
      <w:r w:rsidRPr="005C3590">
        <w:rPr>
          <w:rFonts w:ascii="Verdana" w:hAnsi="Verdana"/>
          <w:b/>
          <w:w w:val="105"/>
        </w:rPr>
        <w:t>Progress."</w:t>
      </w:r>
    </w:p>
    <w:p w14:paraId="2F1E8697" w14:textId="77777777" w:rsidR="00B224B5" w:rsidRPr="005C3590" w:rsidRDefault="00B224B5" w:rsidP="00B224B5">
      <w:pPr>
        <w:spacing w:line="271" w:lineRule="auto"/>
        <w:ind w:right="701"/>
        <w:rPr>
          <w:rFonts w:ascii="Verdana" w:hAnsi="Verdana"/>
        </w:rPr>
      </w:pPr>
      <w:r w:rsidRPr="005C3590">
        <w:rPr>
          <w:rFonts w:ascii="Verdana" w:hAnsi="Verdana"/>
        </w:rPr>
        <w:t>Similar red alerts were expressed for SHLAA 1967, land at Wittering Lane, SHLAA 1973and SHLAA 3045, Westward Ho, Broad Lane</w:t>
      </w:r>
    </w:p>
    <w:p w14:paraId="3A85436F" w14:textId="26918357" w:rsidR="00B224B5" w:rsidRPr="005C3590" w:rsidRDefault="00B224B5" w:rsidP="00B224B5">
      <w:pPr>
        <w:spacing w:line="268" w:lineRule="auto"/>
        <w:ind w:right="247"/>
        <w:rPr>
          <w:rFonts w:ascii="Verdana" w:hAnsi="Verdana"/>
          <w:w w:val="105"/>
        </w:rPr>
      </w:pPr>
      <w:r w:rsidRPr="005C3590">
        <w:rPr>
          <w:rFonts w:ascii="Verdana" w:hAnsi="Verdana"/>
          <w:w w:val="105"/>
        </w:rPr>
        <w:t xml:space="preserve">Based on the above </w:t>
      </w:r>
      <w:r w:rsidRPr="005C3590">
        <w:rPr>
          <w:rFonts w:ascii="Verdana" w:hAnsi="Verdana"/>
          <w:spacing w:val="-6"/>
          <w:w w:val="105"/>
        </w:rPr>
        <w:t xml:space="preserve">statements, </w:t>
      </w:r>
      <w:r w:rsidRPr="005C3590">
        <w:rPr>
          <w:rFonts w:ascii="Verdana" w:hAnsi="Verdana"/>
          <w:spacing w:val="-4"/>
          <w:w w:val="105"/>
        </w:rPr>
        <w:t xml:space="preserve">etc., </w:t>
      </w:r>
      <w:r w:rsidRPr="005C3590">
        <w:rPr>
          <w:rFonts w:ascii="Verdana" w:hAnsi="Verdana"/>
          <w:w w:val="105"/>
        </w:rPr>
        <w:t>it is essential that all the coastal parcels areas are removed from further consideration</w:t>
      </w:r>
      <w:r w:rsidRPr="005C3590">
        <w:rPr>
          <w:rFonts w:ascii="Verdana" w:hAnsi="Verdana"/>
          <w:spacing w:val="-8"/>
          <w:w w:val="105"/>
        </w:rPr>
        <w:t xml:space="preserve"> </w:t>
      </w:r>
      <w:r w:rsidRPr="005C3590">
        <w:rPr>
          <w:rFonts w:ascii="Verdana" w:hAnsi="Verdana"/>
          <w:w w:val="105"/>
        </w:rPr>
        <w:t>re</w:t>
      </w:r>
      <w:r w:rsidRPr="005C3590">
        <w:rPr>
          <w:rFonts w:ascii="Verdana" w:hAnsi="Verdana"/>
          <w:spacing w:val="-20"/>
          <w:w w:val="105"/>
        </w:rPr>
        <w:t xml:space="preserve"> </w:t>
      </w:r>
      <w:r w:rsidRPr="005C3590">
        <w:rPr>
          <w:rFonts w:ascii="Verdana" w:hAnsi="Verdana"/>
          <w:spacing w:val="-6"/>
          <w:w w:val="105"/>
        </w:rPr>
        <w:t>development</w:t>
      </w:r>
      <w:r w:rsidRPr="005C3590">
        <w:rPr>
          <w:rFonts w:ascii="Verdana" w:hAnsi="Verdana"/>
          <w:spacing w:val="-38"/>
          <w:w w:val="105"/>
        </w:rPr>
        <w:t xml:space="preserve"> </w:t>
      </w:r>
      <w:r w:rsidRPr="005C3590">
        <w:rPr>
          <w:rFonts w:ascii="Verdana" w:hAnsi="Verdana"/>
          <w:w w:val="105"/>
        </w:rPr>
        <w:t>and</w:t>
      </w:r>
      <w:r w:rsidRPr="005C3590">
        <w:rPr>
          <w:rFonts w:ascii="Verdana" w:hAnsi="Verdana"/>
          <w:spacing w:val="-21"/>
          <w:w w:val="105"/>
        </w:rPr>
        <w:t xml:space="preserve"> </w:t>
      </w:r>
      <w:r w:rsidRPr="005C3590">
        <w:rPr>
          <w:rFonts w:ascii="Verdana" w:hAnsi="Verdana"/>
          <w:w w:val="105"/>
        </w:rPr>
        <w:t>removed</w:t>
      </w:r>
      <w:r w:rsidRPr="005C3590">
        <w:rPr>
          <w:rFonts w:ascii="Verdana" w:hAnsi="Verdana"/>
          <w:spacing w:val="-7"/>
          <w:w w:val="105"/>
        </w:rPr>
        <w:t xml:space="preserve"> </w:t>
      </w:r>
      <w:r w:rsidRPr="005C3590">
        <w:rPr>
          <w:rFonts w:ascii="Verdana" w:hAnsi="Verdana"/>
          <w:w w:val="105"/>
        </w:rPr>
        <w:t>from</w:t>
      </w:r>
      <w:r w:rsidRPr="005C3590">
        <w:rPr>
          <w:rFonts w:ascii="Verdana" w:hAnsi="Verdana"/>
          <w:spacing w:val="-10"/>
          <w:w w:val="105"/>
        </w:rPr>
        <w:t xml:space="preserve"> </w:t>
      </w:r>
      <w:r w:rsidRPr="005C3590">
        <w:rPr>
          <w:rFonts w:ascii="Verdana" w:hAnsi="Verdana"/>
          <w:w w:val="105"/>
        </w:rPr>
        <w:t>any</w:t>
      </w:r>
      <w:r w:rsidRPr="005C3590">
        <w:rPr>
          <w:rFonts w:ascii="Verdana" w:hAnsi="Verdana"/>
          <w:spacing w:val="-13"/>
          <w:w w:val="105"/>
        </w:rPr>
        <w:t xml:space="preserve"> </w:t>
      </w:r>
      <w:r w:rsidRPr="005C3590">
        <w:rPr>
          <w:rFonts w:ascii="Verdana" w:hAnsi="Verdana"/>
          <w:w w:val="105"/>
        </w:rPr>
        <w:t>further</w:t>
      </w:r>
      <w:r w:rsidRPr="005C3590">
        <w:rPr>
          <w:rFonts w:ascii="Verdana" w:hAnsi="Verdana"/>
          <w:spacing w:val="-11"/>
          <w:w w:val="105"/>
        </w:rPr>
        <w:t xml:space="preserve"> </w:t>
      </w:r>
      <w:r w:rsidRPr="005C3590">
        <w:rPr>
          <w:rFonts w:ascii="Verdana" w:hAnsi="Verdana"/>
          <w:w w:val="105"/>
        </w:rPr>
        <w:t>sites</w:t>
      </w:r>
      <w:r w:rsidRPr="005C3590">
        <w:rPr>
          <w:rFonts w:ascii="Verdana" w:hAnsi="Verdana"/>
          <w:spacing w:val="-16"/>
          <w:w w:val="105"/>
        </w:rPr>
        <w:t xml:space="preserve"> </w:t>
      </w:r>
      <w:r w:rsidRPr="005C3590">
        <w:rPr>
          <w:rFonts w:ascii="Verdana" w:hAnsi="Verdana"/>
          <w:w w:val="105"/>
        </w:rPr>
        <w:t>under</w:t>
      </w:r>
      <w:r w:rsidRPr="005C3590">
        <w:rPr>
          <w:rFonts w:ascii="Verdana" w:hAnsi="Verdana"/>
          <w:spacing w:val="-13"/>
          <w:w w:val="105"/>
        </w:rPr>
        <w:t xml:space="preserve"> </w:t>
      </w:r>
      <w:r w:rsidRPr="005C3590">
        <w:rPr>
          <w:rFonts w:ascii="Verdana" w:hAnsi="Verdana"/>
          <w:w w:val="105"/>
        </w:rPr>
        <w:t>investigation next issue of</w:t>
      </w:r>
      <w:r w:rsidRPr="005C3590">
        <w:rPr>
          <w:rFonts w:ascii="Verdana" w:hAnsi="Verdana"/>
          <w:spacing w:val="-43"/>
          <w:w w:val="105"/>
        </w:rPr>
        <w:t xml:space="preserve"> </w:t>
      </w:r>
      <w:r w:rsidRPr="005C3590">
        <w:rPr>
          <w:rFonts w:ascii="Verdana" w:hAnsi="Verdana"/>
          <w:w w:val="105"/>
        </w:rPr>
        <w:t>the Local Plan.</w:t>
      </w:r>
    </w:p>
    <w:p w14:paraId="37687679" w14:textId="3D95DFF1" w:rsidR="00FF527C" w:rsidRPr="005C3590" w:rsidRDefault="00FF527C" w:rsidP="00B224B5">
      <w:pPr>
        <w:spacing w:line="268" w:lineRule="auto"/>
        <w:ind w:right="247"/>
        <w:rPr>
          <w:rFonts w:ascii="Verdana" w:hAnsi="Verdana"/>
          <w:w w:val="105"/>
        </w:rPr>
      </w:pPr>
    </w:p>
    <w:p w14:paraId="39BCEE2D" w14:textId="200A1515" w:rsidR="00FF527C" w:rsidRPr="005C3590" w:rsidRDefault="00FF527C" w:rsidP="00B224B5">
      <w:pPr>
        <w:spacing w:line="268" w:lineRule="auto"/>
        <w:ind w:right="247"/>
        <w:rPr>
          <w:rFonts w:ascii="Verdana" w:hAnsi="Verdana"/>
          <w:w w:val="105"/>
        </w:rPr>
      </w:pPr>
    </w:p>
    <w:p w14:paraId="3DD78D36" w14:textId="11512E81" w:rsidR="00FF527C" w:rsidRPr="005C3590" w:rsidRDefault="00FF527C" w:rsidP="00B224B5">
      <w:pPr>
        <w:spacing w:line="268" w:lineRule="auto"/>
        <w:ind w:right="247"/>
        <w:rPr>
          <w:rFonts w:ascii="Verdana" w:hAnsi="Verdana"/>
          <w:w w:val="105"/>
        </w:rPr>
      </w:pPr>
    </w:p>
    <w:p w14:paraId="7271D530" w14:textId="140C99D6" w:rsidR="00FF527C" w:rsidRPr="005C3590" w:rsidRDefault="00FF527C" w:rsidP="00B224B5">
      <w:pPr>
        <w:spacing w:line="268" w:lineRule="auto"/>
        <w:ind w:right="247"/>
        <w:rPr>
          <w:rFonts w:ascii="Verdana" w:hAnsi="Verdana"/>
          <w:w w:val="105"/>
        </w:rPr>
      </w:pPr>
    </w:p>
    <w:p w14:paraId="427662E9" w14:textId="52BD5903" w:rsidR="00FF527C" w:rsidRPr="005C3590" w:rsidRDefault="00FF527C" w:rsidP="00B224B5">
      <w:pPr>
        <w:spacing w:line="268" w:lineRule="auto"/>
        <w:ind w:right="247"/>
        <w:rPr>
          <w:rFonts w:ascii="Verdana" w:hAnsi="Verdana"/>
          <w:w w:val="105"/>
        </w:rPr>
      </w:pPr>
    </w:p>
    <w:p w14:paraId="450CB629" w14:textId="13B51638" w:rsidR="00FF527C" w:rsidRPr="005C3590" w:rsidRDefault="00FF527C" w:rsidP="00B224B5">
      <w:pPr>
        <w:spacing w:line="268" w:lineRule="auto"/>
        <w:ind w:right="247"/>
        <w:rPr>
          <w:rFonts w:ascii="Verdana" w:hAnsi="Verdana"/>
          <w:w w:val="105"/>
        </w:rPr>
      </w:pPr>
    </w:p>
    <w:p w14:paraId="25221539" w14:textId="2794EBFF" w:rsidR="00FF527C" w:rsidRPr="005C3590" w:rsidRDefault="00FF527C" w:rsidP="00B224B5">
      <w:pPr>
        <w:spacing w:line="268" w:lineRule="auto"/>
        <w:ind w:right="247"/>
        <w:rPr>
          <w:rFonts w:ascii="Verdana" w:hAnsi="Verdana"/>
          <w:w w:val="105"/>
        </w:rPr>
      </w:pPr>
    </w:p>
    <w:p w14:paraId="172E69A2" w14:textId="6A973714" w:rsidR="00FF527C" w:rsidRPr="005C3590" w:rsidRDefault="00FF527C" w:rsidP="00B224B5">
      <w:pPr>
        <w:spacing w:line="268" w:lineRule="auto"/>
        <w:ind w:right="247"/>
        <w:rPr>
          <w:rFonts w:ascii="Verdana" w:hAnsi="Verdana"/>
          <w:w w:val="105"/>
        </w:rPr>
      </w:pPr>
    </w:p>
    <w:p w14:paraId="4628E231" w14:textId="297A492B" w:rsidR="00FF527C" w:rsidRPr="005C3590" w:rsidRDefault="00FF527C" w:rsidP="00B224B5">
      <w:pPr>
        <w:spacing w:line="268" w:lineRule="auto"/>
        <w:ind w:right="247"/>
        <w:rPr>
          <w:rFonts w:ascii="Verdana" w:hAnsi="Verdana"/>
          <w:w w:val="105"/>
        </w:rPr>
      </w:pPr>
    </w:p>
    <w:p w14:paraId="5355C884" w14:textId="4381215A" w:rsidR="00FF527C" w:rsidRPr="005C3590" w:rsidRDefault="00FF527C" w:rsidP="00B224B5">
      <w:pPr>
        <w:spacing w:line="268" w:lineRule="auto"/>
        <w:ind w:right="247"/>
        <w:rPr>
          <w:rFonts w:ascii="Verdana" w:hAnsi="Verdana"/>
        </w:rPr>
      </w:pPr>
      <w:r w:rsidRPr="005C3590">
        <w:rPr>
          <w:rFonts w:ascii="Verdana" w:hAnsi="Verdana"/>
          <w:w w:val="105"/>
        </w:rPr>
        <w:tab/>
      </w:r>
      <w:r w:rsidR="00D33150" w:rsidRPr="005C3590">
        <w:rPr>
          <w:rFonts w:ascii="Verdana" w:hAnsi="Verdana"/>
          <w:w w:val="105"/>
        </w:rPr>
        <w:t>S Anderson</w:t>
      </w:r>
      <w:r w:rsidR="00D33150" w:rsidRPr="005C3590">
        <w:rPr>
          <w:rFonts w:ascii="Verdana" w:hAnsi="Verdana"/>
          <w:w w:val="105"/>
        </w:rPr>
        <w:tab/>
      </w:r>
      <w:r w:rsidR="00D33150" w:rsidRPr="005C3590">
        <w:rPr>
          <w:rFonts w:ascii="Verdana" w:hAnsi="Verdana"/>
          <w:w w:val="105"/>
        </w:rPr>
        <w:tab/>
      </w:r>
      <w:r w:rsidR="00D33150" w:rsidRPr="005C3590">
        <w:rPr>
          <w:rFonts w:ascii="Verdana" w:hAnsi="Verdana"/>
          <w:w w:val="105"/>
        </w:rPr>
        <w:tab/>
      </w:r>
      <w:r w:rsidR="00D33150" w:rsidRPr="005C3590">
        <w:rPr>
          <w:rFonts w:ascii="Verdana" w:hAnsi="Verdana"/>
          <w:w w:val="105"/>
        </w:rPr>
        <w:tab/>
      </w:r>
      <w:r w:rsidR="00D33150" w:rsidRPr="005C3590">
        <w:rPr>
          <w:rFonts w:ascii="Verdana" w:hAnsi="Verdana"/>
          <w:w w:val="105"/>
        </w:rPr>
        <w:tab/>
      </w:r>
      <w:r w:rsidR="00D33150" w:rsidRPr="005C3590">
        <w:rPr>
          <w:rFonts w:ascii="Verdana" w:hAnsi="Verdana"/>
          <w:w w:val="105"/>
        </w:rPr>
        <w:tab/>
      </w:r>
      <w:r w:rsidR="00D33150" w:rsidRPr="005C3590">
        <w:rPr>
          <w:rFonts w:ascii="Verdana" w:hAnsi="Verdana"/>
          <w:w w:val="105"/>
        </w:rPr>
        <w:tab/>
      </w:r>
      <w:r w:rsidRPr="005C3590">
        <w:rPr>
          <w:rFonts w:ascii="Verdana" w:hAnsi="Verdana"/>
          <w:w w:val="105"/>
        </w:rPr>
        <w:t>08/07/2020</w:t>
      </w:r>
    </w:p>
    <w:p w14:paraId="2578D93C" w14:textId="77777777" w:rsidR="00B224B5" w:rsidRDefault="00B224B5" w:rsidP="00B224B5">
      <w:pPr>
        <w:pStyle w:val="BodyText"/>
        <w:rPr>
          <w:sz w:val="22"/>
        </w:rPr>
      </w:pPr>
    </w:p>
    <w:p w14:paraId="61AEC23A" w14:textId="77777777" w:rsidR="00B224B5" w:rsidRPr="003E4BC6" w:rsidRDefault="00B224B5" w:rsidP="001E2130">
      <w:pPr>
        <w:pStyle w:val="Body"/>
        <w:rPr>
          <w:rFonts w:ascii="Verdana" w:hAnsi="Verdana"/>
          <w:sz w:val="24"/>
          <w:szCs w:val="24"/>
        </w:rPr>
      </w:pPr>
    </w:p>
    <w:p w14:paraId="425CA5BC" w14:textId="4114C06A" w:rsidR="002D4785" w:rsidRDefault="002127F5" w:rsidP="007B61C0">
      <w:pPr>
        <w:widowControl/>
        <w:autoSpaceDE/>
        <w:autoSpaceDN/>
        <w:spacing w:after="160" w:line="259" w:lineRule="auto"/>
        <w:rPr>
          <w:rFonts w:ascii="Verdana" w:hAnsi="Verdana"/>
          <w:sz w:val="24"/>
          <w:szCs w:val="24"/>
        </w:rPr>
      </w:pPr>
      <w:r>
        <w:rPr>
          <w:rFonts w:ascii="Verdana" w:hAnsi="Verdana"/>
          <w:sz w:val="24"/>
          <w:szCs w:val="24"/>
        </w:rPr>
        <w:br w:type="page"/>
      </w:r>
      <w:r w:rsidR="00FD6DF0">
        <w:rPr>
          <w:rFonts w:ascii="Verdana" w:hAnsi="Verdana"/>
          <w:sz w:val="24"/>
          <w:szCs w:val="24"/>
        </w:rPr>
        <w:lastRenderedPageBreak/>
        <w:t xml:space="preserve">Appendix: Map showing </w:t>
      </w:r>
      <w:proofErr w:type="spellStart"/>
      <w:r w:rsidR="00FD6DF0">
        <w:rPr>
          <w:rFonts w:ascii="Verdana" w:hAnsi="Verdana"/>
          <w:sz w:val="24"/>
          <w:szCs w:val="24"/>
        </w:rPr>
        <w:t>foothpaths</w:t>
      </w:r>
      <w:proofErr w:type="spellEnd"/>
      <w:r w:rsidR="00FD6DF0">
        <w:rPr>
          <w:rFonts w:ascii="Verdana" w:hAnsi="Verdana"/>
          <w:sz w:val="24"/>
          <w:szCs w:val="24"/>
        </w:rPr>
        <w:t xml:space="preserve"> referred to above</w:t>
      </w:r>
    </w:p>
    <w:p w14:paraId="23F934B2" w14:textId="2A67676F" w:rsidR="00A94480" w:rsidRDefault="00A94480">
      <w:pPr>
        <w:rPr>
          <w:rFonts w:ascii="Verdana" w:hAnsi="Verdana"/>
          <w:sz w:val="24"/>
          <w:szCs w:val="24"/>
        </w:rPr>
      </w:pPr>
    </w:p>
    <w:p w14:paraId="5BF7CDD6" w14:textId="4CA073A4" w:rsidR="00A94480" w:rsidRDefault="00A94480">
      <w:pPr>
        <w:rPr>
          <w:rFonts w:ascii="Verdana" w:hAnsi="Verdana"/>
          <w:sz w:val="24"/>
          <w:szCs w:val="24"/>
        </w:rPr>
      </w:pPr>
    </w:p>
    <w:p w14:paraId="42813FCE" w14:textId="23D3C335" w:rsidR="00A94480" w:rsidRDefault="00A94480">
      <w:pPr>
        <w:rPr>
          <w:rFonts w:ascii="Verdana" w:hAnsi="Verdana"/>
          <w:sz w:val="24"/>
          <w:szCs w:val="24"/>
        </w:rPr>
      </w:pPr>
      <w:r>
        <w:rPr>
          <w:rFonts w:ascii="Verdana" w:hAnsi="Verdana"/>
          <w:noProof/>
          <w:sz w:val="24"/>
          <w:szCs w:val="24"/>
        </w:rPr>
        <w:drawing>
          <wp:inline distT="0" distB="0" distL="0" distR="0" wp14:anchorId="300C108E" wp14:editId="7C92B918">
            <wp:extent cx="4251960" cy="4413504"/>
            <wp:effectExtent l="0" t="0" r="0" b="635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ract from Walk Wirr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1960" cy="4413504"/>
                    </a:xfrm>
                    <a:prstGeom prst="rect">
                      <a:avLst/>
                    </a:prstGeom>
                  </pic:spPr>
                </pic:pic>
              </a:graphicData>
            </a:graphic>
          </wp:inline>
        </w:drawing>
      </w:r>
    </w:p>
    <w:p w14:paraId="0DF49AE7" w14:textId="04F668D1" w:rsidR="00A94480" w:rsidRDefault="00A94480">
      <w:pPr>
        <w:rPr>
          <w:rFonts w:ascii="Verdana" w:hAnsi="Verdana"/>
          <w:sz w:val="24"/>
          <w:szCs w:val="24"/>
        </w:rPr>
      </w:pPr>
    </w:p>
    <w:p w14:paraId="7C1FD7F7" w14:textId="31F43BC2" w:rsidR="00A94480" w:rsidRPr="003E4BC6" w:rsidRDefault="00FD6DF0">
      <w:pPr>
        <w:rPr>
          <w:rFonts w:ascii="Verdana" w:hAnsi="Verdana"/>
          <w:sz w:val="24"/>
          <w:szCs w:val="24"/>
        </w:rPr>
      </w:pPr>
      <w:r>
        <w:rPr>
          <w:rFonts w:ascii="Verdana" w:hAnsi="Verdana"/>
          <w:noProof/>
          <w:sz w:val="24"/>
          <w:szCs w:val="24"/>
        </w:rPr>
        <w:drawing>
          <wp:inline distT="0" distB="0" distL="0" distR="0" wp14:anchorId="01A53ED6" wp14:editId="6A3EB92E">
            <wp:extent cx="1548557" cy="3514725"/>
            <wp:effectExtent l="0" t="0" r="0" b="0"/>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Wrral 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587" cy="3555647"/>
                    </a:xfrm>
                    <a:prstGeom prst="rect">
                      <a:avLst/>
                    </a:prstGeom>
                  </pic:spPr>
                </pic:pic>
              </a:graphicData>
            </a:graphic>
          </wp:inline>
        </w:drawing>
      </w:r>
    </w:p>
    <w:sectPr w:rsidR="00A94480" w:rsidRPr="003E4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E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E5D43"/>
    <w:multiLevelType w:val="multilevel"/>
    <w:tmpl w:val="7A72D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C80935"/>
    <w:multiLevelType w:val="multilevel"/>
    <w:tmpl w:val="2F10D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D56ECE"/>
    <w:multiLevelType w:val="multilevel"/>
    <w:tmpl w:val="2F10D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5254D1"/>
    <w:multiLevelType w:val="multilevel"/>
    <w:tmpl w:val="2F10DC1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56EF5B7A"/>
    <w:multiLevelType w:val="multilevel"/>
    <w:tmpl w:val="2F10D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6A13C7"/>
    <w:multiLevelType w:val="multilevel"/>
    <w:tmpl w:val="2F10D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746B49"/>
    <w:multiLevelType w:val="hybridMultilevel"/>
    <w:tmpl w:val="D5629676"/>
    <w:lvl w:ilvl="0" w:tplc="D2382E40">
      <w:numFmt w:val="bullet"/>
      <w:lvlText w:val="-"/>
      <w:lvlJc w:val="left"/>
      <w:pPr>
        <w:ind w:left="720" w:hanging="360"/>
      </w:pPr>
      <w:rPr>
        <w:rFonts w:ascii="Verdana" w:eastAsia="Arial Unicode MS" w:hAnsi="Verdan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105"/>
    <w:multiLevelType w:val="multilevel"/>
    <w:tmpl w:val="2F10D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8D59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9"/>
  </w:num>
  <w:num w:numId="4">
    <w:abstractNumId w:val="1"/>
  </w:num>
  <w:num w:numId="5">
    <w:abstractNumId w:val="4"/>
  </w:num>
  <w:num w:numId="6">
    <w:abstractNumId w:val="6"/>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0B"/>
    <w:rsid w:val="000E2D19"/>
    <w:rsid w:val="001563CD"/>
    <w:rsid w:val="001E2130"/>
    <w:rsid w:val="002127F5"/>
    <w:rsid w:val="00281D84"/>
    <w:rsid w:val="002B464E"/>
    <w:rsid w:val="002D4785"/>
    <w:rsid w:val="003E4BC6"/>
    <w:rsid w:val="005723A7"/>
    <w:rsid w:val="005C3590"/>
    <w:rsid w:val="006E312C"/>
    <w:rsid w:val="00781EA1"/>
    <w:rsid w:val="007B61C0"/>
    <w:rsid w:val="00A62968"/>
    <w:rsid w:val="00A94480"/>
    <w:rsid w:val="00B224B5"/>
    <w:rsid w:val="00D017BA"/>
    <w:rsid w:val="00D33150"/>
    <w:rsid w:val="00D751AB"/>
    <w:rsid w:val="00E817F0"/>
    <w:rsid w:val="00FD6DF0"/>
    <w:rsid w:val="00FE330B"/>
    <w:rsid w:val="00FF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EF74"/>
  <w15:chartTrackingRefBased/>
  <w15:docId w15:val="{7546EFBB-2B5C-497F-AD79-A7081CA6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B5"/>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23A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5723A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BodyText">
    <w:name w:val="Body Text"/>
    <w:basedOn w:val="Normal"/>
    <w:link w:val="BodyTextChar"/>
    <w:uiPriority w:val="1"/>
    <w:qFormat/>
    <w:rsid w:val="00B224B5"/>
    <w:rPr>
      <w:sz w:val="17"/>
      <w:szCs w:val="17"/>
    </w:rPr>
  </w:style>
  <w:style w:type="character" w:customStyle="1" w:styleId="BodyTextChar">
    <w:name w:val="Body Text Char"/>
    <w:basedOn w:val="DefaultParagraphFont"/>
    <w:link w:val="BodyText"/>
    <w:uiPriority w:val="1"/>
    <w:rsid w:val="00B224B5"/>
    <w:rPr>
      <w:rFonts w:ascii="Arial" w:eastAsia="Arial" w:hAnsi="Arial" w:cs="Arial"/>
      <w:sz w:val="17"/>
      <w:szCs w:val="17"/>
      <w:lang w:val="en-US"/>
    </w:rPr>
  </w:style>
  <w:style w:type="paragraph" w:styleId="ListParagraph">
    <w:name w:val="List Paragraph"/>
    <w:basedOn w:val="Normal"/>
    <w:uiPriority w:val="34"/>
    <w:qFormat/>
    <w:rsid w:val="00FF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Anderson</dc:creator>
  <cp:keywords/>
  <dc:description/>
  <cp:lastModifiedBy>Steve Anderson</cp:lastModifiedBy>
  <cp:revision>8</cp:revision>
  <dcterms:created xsi:type="dcterms:W3CDTF">2020-07-08T09:22:00Z</dcterms:created>
  <dcterms:modified xsi:type="dcterms:W3CDTF">2020-07-09T15:51:00Z</dcterms:modified>
</cp:coreProperties>
</file>